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31D07" w14:textId="77777777" w:rsidR="00D22F84" w:rsidRPr="00A535A7" w:rsidRDefault="00D22F84" w:rsidP="00D22F84">
      <w:pPr>
        <w:contextualSpacing/>
        <w:jc w:val="center"/>
        <w:rPr>
          <w:szCs w:val="21"/>
        </w:rPr>
      </w:pPr>
      <w:r w:rsidRPr="00A535A7">
        <w:rPr>
          <w:rFonts w:ascii="ＭＳ ゴシック" w:eastAsia="ＭＳ ゴシック" w:hAnsi="ＭＳ ゴシック" w:hint="eastAsia"/>
          <w:b/>
          <w:kern w:val="0"/>
          <w:szCs w:val="24"/>
        </w:rPr>
        <w:t>農地コーディネーター配置要領</w:t>
      </w:r>
    </w:p>
    <w:p w14:paraId="1FBD8364" w14:textId="77777777" w:rsidR="00D22F84" w:rsidRDefault="00D22F84" w:rsidP="00D22F84">
      <w:pPr>
        <w:widowControl/>
        <w:contextualSpacing/>
        <w:rPr>
          <w:rFonts w:ascii="ＭＳ 明朝" w:hAnsi="ＭＳ 明朝"/>
          <w:b/>
          <w:kern w:val="0"/>
          <w:szCs w:val="21"/>
        </w:rPr>
      </w:pPr>
    </w:p>
    <w:p w14:paraId="446651E5" w14:textId="77777777" w:rsidR="00D22F84" w:rsidRPr="00A535A7" w:rsidRDefault="00D22F84" w:rsidP="00D22F84">
      <w:pPr>
        <w:widowControl/>
        <w:contextualSpacing/>
        <w:rPr>
          <w:rFonts w:ascii="ＭＳ 明朝" w:hAnsi="ＭＳ 明朝"/>
          <w:b/>
          <w:kern w:val="0"/>
          <w:szCs w:val="21"/>
        </w:rPr>
      </w:pPr>
    </w:p>
    <w:p w14:paraId="24608B5F"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（趣　旨）</w:t>
      </w:r>
    </w:p>
    <w:p w14:paraId="26CF7270"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第１条</w:t>
      </w:r>
      <w:r w:rsidRPr="00A535A7">
        <w:rPr>
          <w:rFonts w:ascii="ＭＳ 明朝" w:hAnsi="ＭＳ 明朝" w:hint="eastAsia"/>
          <w:szCs w:val="21"/>
        </w:rPr>
        <w:t xml:space="preserve">　</w:t>
      </w:r>
      <w:r w:rsidRPr="00A535A7">
        <w:rPr>
          <w:rFonts w:ascii="ＭＳ 明朝" w:hAnsi="ＭＳ 明朝" w:hint="eastAsia"/>
          <w:kern w:val="0"/>
          <w:szCs w:val="21"/>
        </w:rPr>
        <w:t>この要領は、公益社団法人岩手県農業公社（以下「公社」という。）が雇用する</w:t>
      </w:r>
      <w:r w:rsidRPr="00A535A7">
        <w:rPr>
          <w:rFonts w:ascii="ＭＳ 明朝" w:hAnsi="ＭＳ 明朝" w:hint="eastAsia"/>
          <w:szCs w:val="21"/>
        </w:rPr>
        <w:t>農地コーディネーターの配置に関し、必要な事項を定めるものとする。</w:t>
      </w:r>
    </w:p>
    <w:p w14:paraId="7F65EBA1" w14:textId="77777777" w:rsidR="00D22F84" w:rsidRPr="00A535A7" w:rsidRDefault="00D22F84" w:rsidP="00D22F84">
      <w:pPr>
        <w:widowControl/>
        <w:ind w:right="776"/>
        <w:contextualSpacing/>
        <w:rPr>
          <w:rFonts w:ascii="ＭＳ 明朝" w:hAnsi="ＭＳ 明朝"/>
          <w:kern w:val="0"/>
          <w:szCs w:val="21"/>
        </w:rPr>
      </w:pPr>
    </w:p>
    <w:p w14:paraId="040D817E"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（農地コーディネーターの配置）</w:t>
      </w:r>
    </w:p>
    <w:p w14:paraId="152D77F2"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第２条</w:t>
      </w:r>
      <w:r w:rsidRPr="00A535A7">
        <w:rPr>
          <w:rFonts w:ascii="ＭＳ 明朝" w:hAnsi="ＭＳ 明朝" w:hint="eastAsia"/>
          <w:szCs w:val="21"/>
        </w:rPr>
        <w:t xml:space="preserve">　公社は、農地中間管理事業を推進するため、農地コーディネーターを配置する。</w:t>
      </w:r>
    </w:p>
    <w:p w14:paraId="0C5F4919" w14:textId="77777777" w:rsidR="00D22F84" w:rsidRPr="00A535A7" w:rsidRDefault="00D22F84" w:rsidP="00D22F84">
      <w:pPr>
        <w:widowControl/>
        <w:contextualSpacing/>
        <w:rPr>
          <w:rFonts w:ascii="ＭＳ 明朝" w:hAnsi="ＭＳ 明朝"/>
          <w:kern w:val="0"/>
          <w:szCs w:val="21"/>
        </w:rPr>
      </w:pPr>
    </w:p>
    <w:p w14:paraId="3E83F0D1"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（雇用及び期間）</w:t>
      </w:r>
    </w:p>
    <w:p w14:paraId="66BA4642"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第３条</w:t>
      </w:r>
      <w:r w:rsidRPr="00A535A7">
        <w:rPr>
          <w:rFonts w:ascii="ＭＳ ゴシック" w:eastAsia="ＭＳ ゴシック" w:hAnsi="ＭＳ ゴシック" w:hint="eastAsia"/>
          <w:szCs w:val="21"/>
        </w:rPr>
        <w:t xml:space="preserve">　</w:t>
      </w:r>
      <w:r w:rsidRPr="00A535A7">
        <w:rPr>
          <w:rFonts w:ascii="ＭＳ 明朝" w:hAnsi="ＭＳ 明朝" w:hint="eastAsia"/>
          <w:szCs w:val="21"/>
        </w:rPr>
        <w:t>農地コーディネーターは、農地中間管理事業の趣旨を理解し、かつ、地域の農業事情に精通している者を県、関係市町村及び農業協同組合等の意見・情報を基に理事長が決定する。</w:t>
      </w:r>
    </w:p>
    <w:p w14:paraId="132644FF" w14:textId="77777777" w:rsidR="00D22F84" w:rsidRPr="00A535A7" w:rsidRDefault="00D22F84" w:rsidP="00D22F84">
      <w:pPr>
        <w:ind w:left="224" w:hangingChars="100" w:hanging="224"/>
        <w:contextualSpacing/>
        <w:rPr>
          <w:rFonts w:ascii="ＭＳ 明朝" w:hAnsi="ＭＳ 明朝"/>
          <w:szCs w:val="21"/>
        </w:rPr>
      </w:pPr>
      <w:r w:rsidRPr="00A535A7">
        <w:rPr>
          <w:rFonts w:ascii="ＭＳ 明朝" w:hAnsi="ＭＳ 明朝" w:hint="eastAsia"/>
          <w:szCs w:val="21"/>
        </w:rPr>
        <w:t>２　農地コーディネーターの雇用期間は、雇用の日から当該年度の末日とする。</w:t>
      </w:r>
    </w:p>
    <w:p w14:paraId="3E319725" w14:textId="77777777" w:rsidR="00D22F84" w:rsidRPr="00A535A7" w:rsidRDefault="00D22F84" w:rsidP="00D22F84">
      <w:pPr>
        <w:contextualSpacing/>
        <w:rPr>
          <w:rFonts w:ascii="ＭＳ 明朝" w:hAnsi="ＭＳ 明朝"/>
          <w:szCs w:val="21"/>
        </w:rPr>
      </w:pPr>
    </w:p>
    <w:p w14:paraId="0F803C3D"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（勤務場所）</w:t>
      </w:r>
    </w:p>
    <w:p w14:paraId="4593A2D0"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第４条</w:t>
      </w:r>
      <w:r w:rsidRPr="00A535A7">
        <w:rPr>
          <w:rFonts w:ascii="ＭＳ 明朝" w:hAnsi="ＭＳ 明朝" w:hint="eastAsia"/>
          <w:szCs w:val="21"/>
        </w:rPr>
        <w:t xml:space="preserve">　農地コーディネーターの勤務地は、理事長が別に定める。</w:t>
      </w:r>
    </w:p>
    <w:p w14:paraId="4BD9D74F" w14:textId="77777777" w:rsidR="00D22F84" w:rsidRPr="00A535A7" w:rsidRDefault="00D22F84" w:rsidP="00D22F84">
      <w:pPr>
        <w:contextualSpacing/>
        <w:rPr>
          <w:rFonts w:ascii="ＭＳ 明朝" w:hAnsi="ＭＳ 明朝"/>
          <w:b/>
          <w:szCs w:val="21"/>
        </w:rPr>
      </w:pPr>
    </w:p>
    <w:p w14:paraId="7F25D20E"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（職務の内容）</w:t>
      </w:r>
    </w:p>
    <w:p w14:paraId="68F8538D"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第５条</w:t>
      </w:r>
      <w:r w:rsidRPr="00A535A7">
        <w:rPr>
          <w:rFonts w:ascii="ＭＳ 明朝" w:hAnsi="ＭＳ 明朝" w:hint="eastAsia"/>
          <w:szCs w:val="21"/>
        </w:rPr>
        <w:t xml:space="preserve">　農地コーディネーターは、公社の農地中間管理事業に係る業務の委託先等と連携のうえ次の職務を行う。</w:t>
      </w:r>
    </w:p>
    <w:p w14:paraId="19AA3ACA" w14:textId="21561394" w:rsidR="00D22F84" w:rsidRPr="00A535A7" w:rsidRDefault="00D22F84" w:rsidP="00D22F84">
      <w:pPr>
        <w:ind w:left="448" w:hangingChars="200" w:hanging="448"/>
        <w:contextualSpacing/>
        <w:rPr>
          <w:rFonts w:ascii="ＭＳ 明朝" w:hAnsi="ＭＳ 明朝"/>
          <w:szCs w:val="21"/>
        </w:rPr>
      </w:pPr>
      <w:r w:rsidRPr="00A535A7">
        <w:rPr>
          <w:rFonts w:ascii="ＭＳ 明朝" w:hAnsi="ＭＳ 明朝" w:hint="eastAsia"/>
          <w:szCs w:val="21"/>
        </w:rPr>
        <w:t>（1）</w:t>
      </w:r>
      <w:r w:rsidR="00D24412" w:rsidRPr="009A017D">
        <w:rPr>
          <w:rFonts w:ascii="ＭＳ 明朝" w:hAnsi="ＭＳ 明朝" w:hint="eastAsia"/>
          <w:szCs w:val="21"/>
        </w:rPr>
        <w:t>地域計画</w:t>
      </w:r>
      <w:r w:rsidRPr="00A535A7">
        <w:rPr>
          <w:rFonts w:ascii="ＭＳ 明朝" w:hAnsi="ＭＳ 明朝" w:hint="eastAsia"/>
          <w:szCs w:val="21"/>
        </w:rPr>
        <w:t>の実現に向けた支援に関すること。</w:t>
      </w:r>
    </w:p>
    <w:p w14:paraId="329E26CF" w14:textId="77777777" w:rsidR="00D22F84" w:rsidRPr="00A535A7" w:rsidRDefault="00D22F84" w:rsidP="00D22F84">
      <w:pPr>
        <w:ind w:left="448" w:hangingChars="200" w:hanging="448"/>
        <w:contextualSpacing/>
        <w:rPr>
          <w:rFonts w:ascii="ＭＳ 明朝" w:hAnsi="ＭＳ 明朝"/>
          <w:szCs w:val="21"/>
        </w:rPr>
      </w:pPr>
      <w:r w:rsidRPr="00A535A7">
        <w:rPr>
          <w:rFonts w:ascii="ＭＳ 明朝" w:hAnsi="ＭＳ 明朝" w:hint="eastAsia"/>
          <w:szCs w:val="21"/>
        </w:rPr>
        <w:t>（2）農用地等の借入及び貸付のマッチングに関すること。</w:t>
      </w:r>
    </w:p>
    <w:p w14:paraId="78439B5A" w14:textId="77777777" w:rsidR="00D22F84" w:rsidRPr="00A535A7" w:rsidRDefault="00D22F84" w:rsidP="00D22F84">
      <w:pPr>
        <w:ind w:left="448" w:hangingChars="200" w:hanging="448"/>
        <w:contextualSpacing/>
        <w:rPr>
          <w:rFonts w:ascii="ＭＳ 明朝" w:hAnsi="ＭＳ 明朝"/>
          <w:szCs w:val="21"/>
        </w:rPr>
      </w:pPr>
      <w:r w:rsidRPr="00A535A7">
        <w:rPr>
          <w:rFonts w:ascii="ＭＳ 明朝" w:hAnsi="ＭＳ 明朝" w:hint="eastAsia"/>
          <w:szCs w:val="21"/>
        </w:rPr>
        <w:t>（3）農用地等の利用条件の改善に関すること。</w:t>
      </w:r>
    </w:p>
    <w:p w14:paraId="54ABC8D3" w14:textId="77777777" w:rsidR="00D22F84" w:rsidRPr="00A535A7" w:rsidRDefault="00D22F84" w:rsidP="00D22F84">
      <w:pPr>
        <w:ind w:left="448" w:hangingChars="200" w:hanging="448"/>
        <w:contextualSpacing/>
        <w:rPr>
          <w:rFonts w:ascii="ＭＳ 明朝" w:hAnsi="ＭＳ 明朝"/>
          <w:szCs w:val="21"/>
        </w:rPr>
      </w:pPr>
      <w:r w:rsidRPr="00A535A7">
        <w:rPr>
          <w:rFonts w:ascii="ＭＳ 明朝" w:hAnsi="ＭＳ 明朝" w:hint="eastAsia"/>
          <w:szCs w:val="21"/>
        </w:rPr>
        <w:t>（4）貸借地の利用状況の確認等に関すること。</w:t>
      </w:r>
    </w:p>
    <w:p w14:paraId="5D442DAD" w14:textId="77777777" w:rsidR="00D22F84" w:rsidRPr="00A535A7" w:rsidRDefault="00D22F84" w:rsidP="00D22F84">
      <w:pPr>
        <w:contextualSpacing/>
        <w:rPr>
          <w:rFonts w:ascii="ＭＳ 明朝" w:hAnsi="ＭＳ 明朝"/>
          <w:szCs w:val="21"/>
        </w:rPr>
      </w:pPr>
      <w:r w:rsidRPr="00A535A7">
        <w:rPr>
          <w:rFonts w:ascii="ＭＳ 明朝" w:hAnsi="ＭＳ 明朝" w:hint="eastAsia"/>
          <w:szCs w:val="21"/>
        </w:rPr>
        <w:t>（5）その他理事長が必要と認めた事項</w:t>
      </w:r>
    </w:p>
    <w:p w14:paraId="1B993CB0" w14:textId="77777777" w:rsidR="00D22F84" w:rsidRPr="00A535A7" w:rsidRDefault="00D22F84" w:rsidP="00D22F84">
      <w:pPr>
        <w:widowControl/>
        <w:ind w:left="224" w:hangingChars="100" w:hanging="224"/>
        <w:contextualSpacing/>
        <w:jc w:val="left"/>
        <w:rPr>
          <w:szCs w:val="21"/>
        </w:rPr>
      </w:pPr>
    </w:p>
    <w:p w14:paraId="60B9E28F"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（給　与）</w:t>
      </w:r>
    </w:p>
    <w:p w14:paraId="563571BF"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第６条</w:t>
      </w:r>
      <w:r w:rsidRPr="00A535A7">
        <w:rPr>
          <w:rFonts w:ascii="ＭＳ ゴシック" w:eastAsia="ＭＳ ゴシック" w:hAnsi="ＭＳ ゴシック" w:hint="eastAsia"/>
          <w:szCs w:val="21"/>
        </w:rPr>
        <w:t xml:space="preserve">　</w:t>
      </w:r>
      <w:r w:rsidRPr="00A535A7">
        <w:rPr>
          <w:rFonts w:ascii="ＭＳ 明朝" w:hAnsi="ＭＳ 明朝" w:hint="eastAsia"/>
          <w:szCs w:val="21"/>
        </w:rPr>
        <w:t>農地コーディネーターの給与は、</w:t>
      </w:r>
      <w:r w:rsidRPr="00553A7A">
        <w:rPr>
          <w:rFonts w:ascii="ＭＳ 明朝" w:hAnsi="ＭＳ 明朝" w:hint="eastAsia"/>
          <w:szCs w:val="21"/>
        </w:rPr>
        <w:t>農地コーディネーターの給与は、公社の「非常勤職員の就業に関する取扱要領」によるものとする。</w:t>
      </w:r>
    </w:p>
    <w:p w14:paraId="5B599882" w14:textId="77777777" w:rsidR="00D22F84" w:rsidRPr="00A535A7" w:rsidRDefault="00D22F84" w:rsidP="00D22F84"/>
    <w:p w14:paraId="173C9131"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（勤務日数）</w:t>
      </w:r>
    </w:p>
    <w:p w14:paraId="099AAFBD"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第７条</w:t>
      </w:r>
      <w:r w:rsidRPr="00A535A7">
        <w:rPr>
          <w:rFonts w:ascii="ＭＳ 明朝" w:hAnsi="ＭＳ 明朝" w:hint="eastAsia"/>
          <w:szCs w:val="21"/>
        </w:rPr>
        <w:t xml:space="preserve">　農地コーディネーターの勤務日数は、原則として、年１４４日とする。</w:t>
      </w:r>
    </w:p>
    <w:p w14:paraId="0E549C36" w14:textId="77777777" w:rsidR="00D22F84" w:rsidRPr="00A535A7" w:rsidRDefault="00D22F84" w:rsidP="00D22F84">
      <w:pPr>
        <w:contextualSpacing/>
        <w:rPr>
          <w:rFonts w:ascii="ＭＳ ゴシック" w:eastAsia="ＭＳ ゴシック" w:hAnsi="ＭＳ ゴシック"/>
          <w:b/>
          <w:szCs w:val="21"/>
        </w:rPr>
      </w:pPr>
    </w:p>
    <w:p w14:paraId="5EF98015" w14:textId="77777777" w:rsidR="00D22F84" w:rsidRPr="00A535A7" w:rsidRDefault="00D22F84" w:rsidP="00D22F84">
      <w:pPr>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（その他）</w:t>
      </w:r>
    </w:p>
    <w:p w14:paraId="24B395E0" w14:textId="77777777" w:rsidR="00D22F84" w:rsidRPr="00A535A7" w:rsidRDefault="00D22F84" w:rsidP="00D22F84">
      <w:pPr>
        <w:ind w:left="225" w:hangingChars="100" w:hanging="225"/>
        <w:contextualSpacing/>
        <w:rPr>
          <w:rFonts w:ascii="ＭＳ 明朝" w:hAnsi="ＭＳ 明朝"/>
          <w:szCs w:val="21"/>
        </w:rPr>
      </w:pPr>
      <w:r w:rsidRPr="00A535A7">
        <w:rPr>
          <w:rFonts w:ascii="ＭＳ ゴシック" w:eastAsia="ＭＳ ゴシック" w:hAnsi="ＭＳ ゴシック" w:hint="eastAsia"/>
          <w:b/>
          <w:szCs w:val="21"/>
        </w:rPr>
        <w:t>第</w:t>
      </w:r>
      <w:r>
        <w:rPr>
          <w:rFonts w:ascii="ＭＳ ゴシック" w:eastAsia="ＭＳ ゴシック" w:hAnsi="ＭＳ ゴシック" w:hint="eastAsia"/>
          <w:b/>
          <w:szCs w:val="21"/>
        </w:rPr>
        <w:t>８</w:t>
      </w:r>
      <w:r w:rsidRPr="00A535A7">
        <w:rPr>
          <w:rFonts w:ascii="ＭＳ ゴシック" w:eastAsia="ＭＳ ゴシック" w:hAnsi="ＭＳ ゴシック" w:hint="eastAsia"/>
          <w:b/>
          <w:szCs w:val="21"/>
        </w:rPr>
        <w:t>条</w:t>
      </w:r>
      <w:r w:rsidRPr="00A535A7">
        <w:rPr>
          <w:rFonts w:ascii="ＭＳ 明朝" w:hAnsi="ＭＳ 明朝" w:hint="eastAsia"/>
          <w:szCs w:val="21"/>
        </w:rPr>
        <w:t xml:space="preserve">　</w:t>
      </w:r>
      <w:r>
        <w:rPr>
          <w:rFonts w:ascii="ＭＳ 明朝" w:hAnsi="ＭＳ 明朝" w:hint="eastAsia"/>
          <w:szCs w:val="21"/>
        </w:rPr>
        <w:t>この要領に定めるもののほか、</w:t>
      </w:r>
      <w:r w:rsidRPr="00A535A7">
        <w:rPr>
          <w:rFonts w:ascii="ＭＳ 明朝" w:hAnsi="ＭＳ 明朝" w:hint="eastAsia"/>
          <w:szCs w:val="21"/>
        </w:rPr>
        <w:t>農地コーディネーターの就業及び勤務条件等については、公社の</w:t>
      </w:r>
      <w:r w:rsidRPr="00553A7A">
        <w:rPr>
          <w:rFonts w:ascii="ＭＳ 明朝" w:hAnsi="ＭＳ 明朝" w:hint="eastAsia"/>
          <w:szCs w:val="21"/>
        </w:rPr>
        <w:t>「非常勤職員の就業に関する取扱要領」</w:t>
      </w:r>
      <w:r w:rsidRPr="00A535A7">
        <w:rPr>
          <w:rFonts w:ascii="ＭＳ 明朝" w:hAnsi="ＭＳ 明朝" w:hint="eastAsia"/>
          <w:szCs w:val="21"/>
        </w:rPr>
        <w:t xml:space="preserve">によるものとする。　　　</w:t>
      </w:r>
    </w:p>
    <w:p w14:paraId="6AA4E766" w14:textId="77777777" w:rsidR="00D22F84" w:rsidRPr="00A535A7" w:rsidRDefault="00D22F84" w:rsidP="00D22F84">
      <w:pPr>
        <w:contextualSpacing/>
        <w:rPr>
          <w:rFonts w:ascii="ＭＳ 明朝" w:hAnsi="ＭＳ 明朝"/>
          <w:szCs w:val="21"/>
        </w:rPr>
      </w:pPr>
    </w:p>
    <w:p w14:paraId="534E2592" w14:textId="77777777" w:rsidR="00D22F84" w:rsidRPr="00A535A7" w:rsidRDefault="00D22F84" w:rsidP="00D22F84">
      <w:pPr>
        <w:ind w:firstLineChars="300" w:firstLine="675"/>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附　則</w:t>
      </w:r>
    </w:p>
    <w:p w14:paraId="780432FE" w14:textId="77777777" w:rsidR="00D22F84" w:rsidRPr="00A535A7" w:rsidRDefault="00D22F84" w:rsidP="00D22F84">
      <w:pPr>
        <w:ind w:leftChars="100" w:left="224"/>
        <w:contextualSpacing/>
        <w:rPr>
          <w:rFonts w:ascii="ＭＳ 明朝" w:hAnsi="ＭＳ 明朝"/>
          <w:szCs w:val="21"/>
        </w:rPr>
      </w:pPr>
      <w:r w:rsidRPr="00A535A7">
        <w:rPr>
          <w:rFonts w:ascii="ＭＳ 明朝" w:hAnsi="ＭＳ 明朝" w:hint="eastAsia"/>
          <w:szCs w:val="21"/>
        </w:rPr>
        <w:t>１　この要領は、平成26年4月1日から施行する。</w:t>
      </w:r>
    </w:p>
    <w:p w14:paraId="54253C20" w14:textId="77777777" w:rsidR="00D22F84" w:rsidRPr="00A535A7" w:rsidRDefault="00D22F84" w:rsidP="00D22F84">
      <w:pPr>
        <w:ind w:leftChars="100" w:left="448" w:hangingChars="100" w:hanging="224"/>
        <w:contextualSpacing/>
        <w:rPr>
          <w:rFonts w:ascii="ＭＳ 明朝" w:hAnsi="ＭＳ 明朝"/>
          <w:szCs w:val="21"/>
        </w:rPr>
      </w:pPr>
      <w:r w:rsidRPr="00A535A7">
        <w:rPr>
          <w:rFonts w:ascii="ＭＳ 明朝" w:hAnsi="ＭＳ 明朝" w:hint="eastAsia"/>
          <w:szCs w:val="21"/>
        </w:rPr>
        <w:t xml:space="preserve">２　</w:t>
      </w:r>
      <w:r w:rsidRPr="00A535A7">
        <w:rPr>
          <w:rFonts w:ascii="ＭＳ 明朝" w:hAnsi="ＭＳ 明朝" w:hint="eastAsia"/>
          <w:kern w:val="0"/>
          <w:szCs w:val="21"/>
        </w:rPr>
        <w:t>地方駐在員配置要領及び</w:t>
      </w:r>
      <w:r w:rsidRPr="00A535A7">
        <w:rPr>
          <w:rFonts w:ascii="ＭＳ 明朝" w:hAnsi="ＭＳ 明朝" w:hint="eastAsia"/>
          <w:szCs w:val="21"/>
        </w:rPr>
        <w:t>現地駐在員配置要領は</w:t>
      </w:r>
      <w:r w:rsidRPr="00A535A7">
        <w:rPr>
          <w:rFonts w:ascii="Mincho" w:eastAsia="Mincho" w:hint="eastAsia"/>
          <w:szCs w:val="21"/>
        </w:rPr>
        <w:t>、この要領の施行の日をもって廃止する。</w:t>
      </w:r>
    </w:p>
    <w:p w14:paraId="33806939" w14:textId="77777777" w:rsidR="00D22F84" w:rsidRPr="00A535A7" w:rsidRDefault="00D22F84" w:rsidP="00D22F84">
      <w:pPr>
        <w:ind w:firstLineChars="300" w:firstLine="675"/>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附　則</w:t>
      </w:r>
    </w:p>
    <w:p w14:paraId="60518220" w14:textId="77777777" w:rsidR="00D22F84" w:rsidRPr="00A535A7" w:rsidRDefault="00D22F84" w:rsidP="00D22F84">
      <w:pPr>
        <w:ind w:left="164" w:hangingChars="73" w:hanging="164"/>
        <w:contextualSpacing/>
        <w:rPr>
          <w:rFonts w:ascii="ＭＳ 明朝" w:hAnsi="ＭＳ 明朝"/>
          <w:szCs w:val="21"/>
        </w:rPr>
      </w:pPr>
      <w:r w:rsidRPr="00A535A7">
        <w:rPr>
          <w:rFonts w:ascii="ＭＳ 明朝" w:hAnsi="ＭＳ 明朝" w:hint="eastAsia"/>
          <w:szCs w:val="21"/>
        </w:rPr>
        <w:t xml:space="preserve">　この要領は、平成28年4月1日から施行する。</w:t>
      </w:r>
    </w:p>
    <w:p w14:paraId="31F9FE56" w14:textId="77777777" w:rsidR="00D22F84" w:rsidRPr="00A535A7" w:rsidRDefault="00D22F84" w:rsidP="00D22F84">
      <w:pPr>
        <w:ind w:firstLineChars="300" w:firstLine="675"/>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附　則</w:t>
      </w:r>
    </w:p>
    <w:p w14:paraId="5E9EF49E" w14:textId="77777777" w:rsidR="00D22F84" w:rsidRPr="00A535A7" w:rsidRDefault="00D22F84" w:rsidP="00D22F84">
      <w:pPr>
        <w:ind w:left="164" w:hangingChars="73" w:hanging="164"/>
        <w:contextualSpacing/>
        <w:rPr>
          <w:rFonts w:ascii="ＭＳ 明朝" w:hAnsi="ＭＳ 明朝"/>
          <w:szCs w:val="21"/>
        </w:rPr>
      </w:pPr>
      <w:r w:rsidRPr="00A535A7">
        <w:rPr>
          <w:rFonts w:ascii="ＭＳ 明朝" w:hAnsi="ＭＳ 明朝" w:hint="eastAsia"/>
          <w:szCs w:val="21"/>
        </w:rPr>
        <w:t xml:space="preserve">　この要領は、平成30年4月1日から施行する。</w:t>
      </w:r>
    </w:p>
    <w:p w14:paraId="131B4744" w14:textId="77777777" w:rsidR="00D22F84" w:rsidRPr="00A535A7" w:rsidRDefault="00D22F84" w:rsidP="00D22F84">
      <w:pPr>
        <w:ind w:firstLineChars="300" w:firstLine="675"/>
        <w:contextualSpacing/>
        <w:rPr>
          <w:rFonts w:ascii="ＭＳ ゴシック" w:eastAsia="ＭＳ ゴシック" w:hAnsi="ＭＳ ゴシック"/>
          <w:b/>
          <w:szCs w:val="21"/>
        </w:rPr>
      </w:pPr>
      <w:r w:rsidRPr="00A535A7">
        <w:rPr>
          <w:rFonts w:ascii="ＭＳ ゴシック" w:eastAsia="ＭＳ ゴシック" w:hAnsi="ＭＳ ゴシック" w:hint="eastAsia"/>
          <w:b/>
          <w:szCs w:val="21"/>
        </w:rPr>
        <w:t>附　則</w:t>
      </w:r>
    </w:p>
    <w:p w14:paraId="1889A478" w14:textId="77777777" w:rsidR="00D22F84" w:rsidRPr="00A535A7" w:rsidRDefault="00D22F84" w:rsidP="00D22F84">
      <w:pPr>
        <w:ind w:firstLineChars="100" w:firstLine="224"/>
        <w:contextualSpacing/>
        <w:rPr>
          <w:rFonts w:ascii="ＭＳ 明朝" w:hAnsi="ＭＳ 明朝"/>
          <w:szCs w:val="21"/>
        </w:rPr>
      </w:pPr>
      <w:r w:rsidRPr="00A535A7">
        <w:rPr>
          <w:rFonts w:ascii="ＭＳ 明朝" w:hAnsi="ＭＳ 明朝" w:hint="eastAsia"/>
          <w:szCs w:val="21"/>
        </w:rPr>
        <w:t>この要領は、平成31年４月１日から施行する。</w:t>
      </w:r>
    </w:p>
    <w:p w14:paraId="73773BE0" w14:textId="77777777" w:rsidR="00D22F84" w:rsidRPr="00D24412" w:rsidRDefault="00D22F84" w:rsidP="00D22F84">
      <w:pPr>
        <w:ind w:firstLineChars="300" w:firstLine="675"/>
        <w:rPr>
          <w:rFonts w:ascii="ＭＳ ゴシック" w:eastAsia="ＭＳ ゴシック" w:hAnsi="ＭＳ ゴシック"/>
          <w:b/>
          <w:bCs/>
        </w:rPr>
      </w:pPr>
      <w:bookmarkStart w:id="0" w:name="_Hlk129686970"/>
      <w:r w:rsidRPr="00D24412">
        <w:rPr>
          <w:rFonts w:ascii="ＭＳ ゴシック" w:eastAsia="ＭＳ ゴシック" w:hAnsi="ＭＳ ゴシック" w:hint="eastAsia"/>
          <w:b/>
          <w:bCs/>
        </w:rPr>
        <w:t>附　則</w:t>
      </w:r>
    </w:p>
    <w:p w14:paraId="4040E7A0" w14:textId="77777777" w:rsidR="00D22F84" w:rsidRPr="00553A7A" w:rsidRDefault="00D22F84" w:rsidP="00D22F84">
      <w:pPr>
        <w:ind w:firstLineChars="100" w:firstLine="224"/>
      </w:pPr>
      <w:r w:rsidRPr="00553A7A">
        <w:rPr>
          <w:rFonts w:hint="eastAsia"/>
        </w:rPr>
        <w:t>この要領は、令和３年４月１日から施行する。</w:t>
      </w:r>
    </w:p>
    <w:bookmarkEnd w:id="0"/>
    <w:p w14:paraId="4AC6ACFB" w14:textId="77777777" w:rsidR="00D24412" w:rsidRPr="009A017D" w:rsidRDefault="00D24412" w:rsidP="00D24412">
      <w:pPr>
        <w:ind w:firstLineChars="300" w:firstLine="675"/>
        <w:rPr>
          <w:rFonts w:ascii="ＭＳ ゴシック" w:eastAsia="ＭＳ ゴシック" w:hAnsi="ＭＳ ゴシック"/>
          <w:b/>
          <w:bCs/>
        </w:rPr>
      </w:pPr>
      <w:r w:rsidRPr="009A017D">
        <w:rPr>
          <w:rFonts w:ascii="ＭＳ ゴシック" w:eastAsia="ＭＳ ゴシック" w:hAnsi="ＭＳ ゴシック" w:hint="eastAsia"/>
          <w:b/>
          <w:bCs/>
        </w:rPr>
        <w:t>附　則</w:t>
      </w:r>
    </w:p>
    <w:p w14:paraId="42E6ECF4" w14:textId="0583FBB6" w:rsidR="00D24412" w:rsidRPr="009A017D" w:rsidRDefault="00D24412" w:rsidP="00D24412">
      <w:pPr>
        <w:ind w:firstLineChars="100" w:firstLine="224"/>
      </w:pPr>
      <w:r w:rsidRPr="009A017D">
        <w:rPr>
          <w:rFonts w:hint="eastAsia"/>
        </w:rPr>
        <w:t>この要領は、令和５年４月１日から施行する。</w:t>
      </w:r>
    </w:p>
    <w:p w14:paraId="669B0965" w14:textId="77777777" w:rsidR="0094706C" w:rsidRPr="00D24412" w:rsidRDefault="009A017D"/>
    <w:sectPr w:rsidR="0094706C" w:rsidRPr="00D24412" w:rsidSect="00FA0658">
      <w:footerReference w:type="even" r:id="rId6"/>
      <w:pgSz w:w="11906" w:h="16838" w:code="9"/>
      <w:pgMar w:top="1418" w:right="1418" w:bottom="1418" w:left="1418" w:header="851" w:footer="992" w:gutter="0"/>
      <w:pgNumType w:start="1"/>
      <w:cols w:space="425"/>
      <w:docGrid w:type="linesAndChars" w:linePitch="367"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D656" w14:textId="77777777" w:rsidR="007C0B3E" w:rsidRDefault="007C0B3E">
      <w:r>
        <w:separator/>
      </w:r>
    </w:p>
  </w:endnote>
  <w:endnote w:type="continuationSeparator" w:id="0">
    <w:p w14:paraId="4944505F" w14:textId="77777777" w:rsidR="007C0B3E" w:rsidRDefault="007C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AA8" w14:textId="77777777" w:rsidR="002846E6" w:rsidRDefault="00D22F8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25473B" w14:textId="77777777" w:rsidR="002846E6" w:rsidRDefault="009A01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7EBA" w14:textId="77777777" w:rsidR="007C0B3E" w:rsidRDefault="007C0B3E">
      <w:r>
        <w:separator/>
      </w:r>
    </w:p>
  </w:footnote>
  <w:footnote w:type="continuationSeparator" w:id="0">
    <w:p w14:paraId="560B94F5" w14:textId="77777777" w:rsidR="007C0B3E" w:rsidRDefault="007C0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84"/>
    <w:rsid w:val="00322901"/>
    <w:rsid w:val="005763F1"/>
    <w:rsid w:val="007946BD"/>
    <w:rsid w:val="007C0B3E"/>
    <w:rsid w:val="009A017D"/>
    <w:rsid w:val="00A067D7"/>
    <w:rsid w:val="00D22F84"/>
    <w:rsid w:val="00D24412"/>
    <w:rsid w:val="00D40C71"/>
    <w:rsid w:val="00FA0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5FEA0E"/>
  <w15:chartTrackingRefBased/>
  <w15:docId w15:val="{52292DE4-1F7C-4BFF-AFFB-9CA2963F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F8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22F84"/>
    <w:pPr>
      <w:tabs>
        <w:tab w:val="center" w:pos="4252"/>
        <w:tab w:val="right" w:pos="8504"/>
      </w:tabs>
      <w:snapToGrid w:val="0"/>
    </w:pPr>
  </w:style>
  <w:style w:type="character" w:customStyle="1" w:styleId="a4">
    <w:name w:val="フッター (文字)"/>
    <w:basedOn w:val="a0"/>
    <w:link w:val="a3"/>
    <w:uiPriority w:val="99"/>
    <w:rsid w:val="00D22F84"/>
    <w:rPr>
      <w:rFonts w:ascii="Century" w:eastAsia="ＭＳ 明朝" w:hAnsi="Century" w:cs="Times New Roman"/>
      <w:sz w:val="24"/>
      <w:szCs w:val="20"/>
    </w:rPr>
  </w:style>
  <w:style w:type="character" w:styleId="a5">
    <w:name w:val="page number"/>
    <w:basedOn w:val="a0"/>
    <w:semiHidden/>
    <w:rsid w:val="00D22F84"/>
  </w:style>
  <w:style w:type="paragraph" w:styleId="a6">
    <w:name w:val="header"/>
    <w:basedOn w:val="a"/>
    <w:link w:val="a7"/>
    <w:uiPriority w:val="99"/>
    <w:unhideWhenUsed/>
    <w:rsid w:val="00FA0658"/>
    <w:pPr>
      <w:tabs>
        <w:tab w:val="center" w:pos="4252"/>
        <w:tab w:val="right" w:pos="8504"/>
      </w:tabs>
      <w:snapToGrid w:val="0"/>
    </w:pPr>
  </w:style>
  <w:style w:type="character" w:customStyle="1" w:styleId="a7">
    <w:name w:val="ヘッダー (文字)"/>
    <w:basedOn w:val="a0"/>
    <w:link w:val="a6"/>
    <w:uiPriority w:val="99"/>
    <w:rsid w:val="00FA065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和弘</dc:creator>
  <cp:keywords/>
  <dc:description/>
  <cp:lastModifiedBy>佐藤 賢</cp:lastModifiedBy>
  <cp:revision>6</cp:revision>
  <cp:lastPrinted>2021-08-03T01:22:00Z</cp:lastPrinted>
  <dcterms:created xsi:type="dcterms:W3CDTF">2021-04-23T02:18:00Z</dcterms:created>
  <dcterms:modified xsi:type="dcterms:W3CDTF">2023-03-22T08:40:00Z</dcterms:modified>
</cp:coreProperties>
</file>